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00" w:line="360" w:before="100"/>
        <w:ind w:left="5385" w:firstLine="0"/>
        <w:contextualSpacing w:val="0"/>
      </w:pPr>
      <w:r w:rsidRPr="00000000" w:rsidR="00000000" w:rsidDel="00000000">
        <w:rPr>
          <w:b w:val="1"/>
          <w:color w:val="000000"/>
          <w:rtl w:val="0"/>
        </w:rPr>
        <w:t xml:space="preserve">УТВЕРЖДЕНО</w:t>
      </w:r>
    </w:p>
    <w:p w:rsidP="00000000" w:rsidRPr="00000000" w:rsidR="00000000" w:rsidDel="00000000" w:rsidRDefault="00000000">
      <w:pPr>
        <w:spacing w:lineRule="auto" w:after="100" w:line="276" w:before="100"/>
        <w:ind w:left="5385" w:firstLine="0"/>
        <w:contextualSpacing w:val="0"/>
      </w:pPr>
      <w:r w:rsidRPr="00000000" w:rsidR="00000000" w:rsidDel="00000000">
        <w:rPr>
          <w:color w:val="000000"/>
          <w:rtl w:val="0"/>
        </w:rPr>
        <w:t xml:space="preserve">решением II Общего собрания членов</w:t>
      </w:r>
    </w:p>
    <w:p w:rsidP="00000000" w:rsidRPr="00000000" w:rsidR="00000000" w:rsidDel="00000000" w:rsidRDefault="00000000">
      <w:pPr>
        <w:spacing w:lineRule="auto" w:after="100" w:line="276" w:before="100"/>
        <w:ind w:left="5385" w:firstLine="0"/>
        <w:contextualSpacing w:val="0"/>
      </w:pPr>
      <w:r w:rsidRPr="00000000" w:rsidR="00000000" w:rsidDel="00000000">
        <w:rPr>
          <w:color w:val="000000"/>
          <w:rtl w:val="0"/>
        </w:rPr>
        <w:t xml:space="preserve">Некоммерческой организации «Союз Строителей Севастополя»</w:t>
      </w:r>
    </w:p>
    <w:p w:rsidP="00000000" w:rsidRPr="00000000" w:rsidR="00000000" w:rsidDel="00000000" w:rsidRDefault="00000000">
      <w:pPr>
        <w:spacing w:lineRule="auto" w:after="100" w:line="276" w:before="100"/>
        <w:ind w:left="5385" w:firstLine="0"/>
        <w:contextualSpacing w:val="0"/>
      </w:pPr>
      <w:r w:rsidRPr="00000000" w:rsidR="00000000" w:rsidDel="00000000">
        <w:rPr>
          <w:color w:val="000000"/>
          <w:rtl w:val="0"/>
        </w:rPr>
        <w:t xml:space="preserve">протокол № 2 от 16.09.2014 года приложение 1</w:t>
      </w:r>
    </w:p>
    <w:p w:rsidP="00000000" w:rsidRPr="00000000" w:rsidR="00000000" w:rsidDel="00000000" w:rsidRDefault="00000000">
      <w:pPr>
        <w:spacing w:lineRule="auto" w:after="100" w:line="360" w:before="100"/>
        <w:contextualSpacing w:val="0"/>
        <w:jc w:val="center"/>
      </w:pPr>
      <w:r w:rsidRPr="00000000" w:rsidR="00000000" w:rsidDel="00000000">
        <w:rPr>
          <w:rtl w:val="0"/>
        </w:rPr>
      </w:r>
    </w:p>
    <w:p w:rsidP="00000000" w:rsidRPr="00000000" w:rsidR="00000000" w:rsidDel="00000000" w:rsidRDefault="00000000">
      <w:pPr>
        <w:pStyle w:val="Subtitle"/>
        <w:spacing w:lineRule="auto" w:after="100" w:before="100"/>
        <w:contextualSpacing w:val="0"/>
      </w:pPr>
      <w:bookmarkStart w:id="0" w:colFirst="0" w:name="h.qo5wjbd1scq2" w:colLast="0"/>
      <w:bookmarkEnd w:id="0"/>
      <w:r w:rsidRPr="00000000" w:rsidR="00000000" w:rsidDel="00000000">
        <w:rPr>
          <w:color w:val="000000"/>
          <w:sz w:val="36"/>
          <w:rtl w:val="0"/>
        </w:rPr>
        <w:t xml:space="preserve">Положение </w:t>
      </w:r>
    </w:p>
    <w:p w:rsidP="00000000" w:rsidRPr="00000000" w:rsidR="00000000" w:rsidDel="00000000" w:rsidRDefault="00000000">
      <w:pPr>
        <w:pStyle w:val="Subtitle"/>
        <w:spacing w:lineRule="auto" w:after="100" w:before="100"/>
        <w:contextualSpacing w:val="0"/>
      </w:pPr>
      <w:bookmarkStart w:id="0" w:colFirst="0" w:name="h.qo5wjbd1scq2" w:colLast="0"/>
      <w:bookmarkEnd w:id="0"/>
      <w:r w:rsidRPr="00000000" w:rsidR="00000000" w:rsidDel="00000000">
        <w:rPr>
          <w:b w:val="0"/>
          <w:color w:val="000000"/>
          <w:rtl w:val="0"/>
        </w:rPr>
        <w:t xml:space="preserve">«О взносах в Союз Строителей Севастополя»</w:t>
      </w:r>
    </w:p>
    <w:p w:rsidP="00000000" w:rsidRPr="00000000" w:rsidR="00000000" w:rsidDel="00000000" w:rsidRDefault="00000000">
      <w:pPr>
        <w:pStyle w:val="Subtitle"/>
        <w:spacing w:lineRule="auto" w:after="100" w:before="100"/>
        <w:contextualSpacing w:val="0"/>
      </w:pPr>
      <w:bookmarkStart w:id="0" w:colFirst="0" w:name="h.qo5wjbd1scq2" w:colLast="0"/>
      <w:bookmarkEnd w:id="0"/>
      <w:r w:rsidRPr="00000000" w:rsidR="00000000" w:rsidDel="00000000">
        <w:rPr>
          <w:b w:val="0"/>
          <w:color w:val="000000"/>
          <w:rtl w:val="0"/>
        </w:rPr>
        <w:t xml:space="preserve">(далее – Положение)</w:t>
      </w:r>
    </w:p>
    <w:p w:rsidP="00000000" w:rsidRPr="00000000" w:rsidR="00000000" w:rsidDel="00000000" w:rsidRDefault="00000000">
      <w:pPr>
        <w:spacing w:lineRule="auto" w:after="100" w:line="360" w:before="100"/>
        <w:contextualSpacing w:val="0"/>
        <w:jc w:val="center"/>
      </w:pPr>
      <w:r w:rsidRPr="00000000" w:rsidR="00000000" w:rsidDel="00000000">
        <w:rPr>
          <w:rtl w:val="0"/>
        </w:rPr>
      </w:r>
    </w:p>
    <w:p w:rsidP="00000000" w:rsidRPr="00000000" w:rsidR="00000000" w:rsidDel="00000000" w:rsidRDefault="00000000">
      <w:pPr>
        <w:pStyle w:val="Heading1"/>
        <w:contextualSpacing w:val="0"/>
      </w:pPr>
      <w:bookmarkStart w:id="1" w:colFirst="0" w:name="h.xay3bkkz4a6w" w:colLast="0"/>
      <w:bookmarkEnd w:id="1"/>
      <w:r w:rsidRPr="00000000" w:rsidR="00000000" w:rsidDel="00000000">
        <w:rPr>
          <w:rtl w:val="0"/>
        </w:rPr>
        <w:t xml:space="preserve">1. Общие положения</w:t>
      </w:r>
      <w:r w:rsidRPr="00000000" w:rsidR="00000000" w:rsidDel="00000000">
        <w:rPr>
          <w:rtl w:val="0"/>
        </w:rPr>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1.1. Настоящее Положение разработано в соответствии с Гражданским Кодексом Российской Федерации, Федеральным законом от 12.01.1996 № 7 – ФЗ «О некоммерческих организациях», Уставом  Некоммерческой организации «Союз Строителей Севастополя» (далее – Устав) и устанавливает порядок определения размера и способа уплаты взносов в Союз Строителей Севастополя (далее – Союз).</w:t>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1.3. Члены Союза обязаны уплачивать предусмотренные Уставом членские взносы, по решению Общего собрания вносить дополнительные имущественные взносы.</w:t>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1.4. Члены Союза вправе в любое время и без ограничений вносить в Союз добровольные имущественные взносы и пожертвования, признаваемые таковыми в соответствии с гражданским законодательством Российской Федерации.</w:t>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1.5. Членские взносы, дополнительные имущественные взносы, иные поступления в Союз от его членов при прекращении членства в Союзе возврату не подлежат.</w:t>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1.6. Учет взносов осуществляется сотрудниками Союза.</w:t>
      </w:r>
    </w:p>
    <w:p w:rsidP="00000000" w:rsidRPr="00000000" w:rsidR="00000000" w:rsidDel="00000000" w:rsidRDefault="00000000">
      <w:pPr>
        <w:pStyle w:val="Heading1"/>
        <w:contextualSpacing w:val="0"/>
      </w:pPr>
      <w:bookmarkStart w:id="2" w:colFirst="0" w:name="h.sr75mstsgbje" w:colLast="0"/>
      <w:bookmarkEnd w:id="2"/>
      <w:r w:rsidRPr="00000000" w:rsidR="00000000" w:rsidDel="00000000">
        <w:rPr>
          <w:rtl w:val="0"/>
        </w:rPr>
        <w:t xml:space="preserve">2. Членские взносы</w:t>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2.1. Членские взносы — регулярные поступления от членов Союза на текущие расходы по осуществлению уставной деятельности Союза в соответствии с финансовым планом. Членские взносы уплачиваются ежегодно.</w:t>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2.2. Размер членских взносов для членов Союза (некоммерческих организаций и физических лиц, не являющихся индивидуальными предпринимателями) составляет 12 000 (двенадцать тысяч) рублей в год.</w:t>
      </w:r>
    </w:p>
    <w:p w:rsidP="00000000" w:rsidRPr="00000000" w:rsidR="00000000" w:rsidDel="00000000" w:rsidRDefault="00000000">
      <w:pPr>
        <w:spacing w:lineRule="auto" w:after="100" w:before="100"/>
        <w:contextualSpacing w:val="0"/>
      </w:pPr>
      <w:r w:rsidRPr="00000000" w:rsidR="00000000" w:rsidDel="00000000">
        <w:rPr>
          <w:color w:val="000000"/>
          <w:rtl w:val="0"/>
        </w:rPr>
        <w:t xml:space="preserve">2.3 Размер членских взносов для членов Союза (коммерческих организаций и индивидуальных предпринимателей) определяется на основании штатной численности сотрудников организации по принципу:</w:t>
      </w:r>
    </w:p>
    <w:p w:rsidP="00000000" w:rsidRPr="00000000" w:rsidR="00000000" w:rsidDel="00000000" w:rsidRDefault="00000000">
      <w:pPr>
        <w:spacing w:lineRule="auto" w:after="100" w:line="360" w:before="100"/>
        <w:ind w:firstLine="720"/>
        <w:contextualSpacing w:val="0"/>
      </w:pPr>
      <w:r w:rsidRPr="00000000" w:rsidR="00000000" w:rsidDel="00000000">
        <w:rPr>
          <w:color w:val="000000"/>
          <w:rtl w:val="0"/>
        </w:rPr>
        <w:t xml:space="preserve">- До 10 сотрудников - 8 000 (восемь тысяч) рублей в год;</w:t>
      </w:r>
    </w:p>
    <w:p w:rsidP="00000000" w:rsidRPr="00000000" w:rsidR="00000000" w:rsidDel="00000000" w:rsidRDefault="00000000">
      <w:pPr>
        <w:spacing w:lineRule="auto" w:after="100" w:before="100"/>
        <w:ind w:firstLine="720"/>
        <w:contextualSpacing w:val="0"/>
      </w:pPr>
      <w:r w:rsidRPr="00000000" w:rsidR="00000000" w:rsidDel="00000000">
        <w:rPr>
          <w:color w:val="000000"/>
          <w:rtl w:val="0"/>
        </w:rPr>
        <w:t xml:space="preserve">- До 100 сотрудников - 12000 (двенадцать тысяч) рублей в год;</w:t>
      </w:r>
    </w:p>
    <w:p w:rsidP="00000000" w:rsidRPr="00000000" w:rsidR="00000000" w:rsidDel="00000000" w:rsidRDefault="00000000">
      <w:pPr>
        <w:spacing w:lineRule="auto" w:after="100" w:before="100"/>
        <w:ind w:firstLine="720"/>
        <w:contextualSpacing w:val="0"/>
      </w:pPr>
      <w:r w:rsidRPr="00000000" w:rsidR="00000000" w:rsidDel="00000000">
        <w:rPr>
          <w:color w:val="000000"/>
          <w:rtl w:val="0"/>
        </w:rPr>
        <w:t xml:space="preserve">- Свыше 100 сотрудников - 18 000 (восемнадцать тысяч) рублей в год;</w:t>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2.4. В течение 10 дней после принятия решения Правлением Союза о размере членских взносов на очередной финансовый год, членам Союза направляются письменные уведомления на оплату членских взносов.</w:t>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2.5. Уплата членских взносов производится в следующем порядке:</w:t>
      </w:r>
    </w:p>
    <w:p w:rsidP="00000000" w:rsidRPr="00000000" w:rsidR="00000000" w:rsidDel="00000000" w:rsidRDefault="00000000">
      <w:pPr>
        <w:numPr>
          <w:ilvl w:val="0"/>
          <w:numId w:val="1"/>
        </w:numPr>
        <w:spacing w:lineRule="auto" w:after="100" w:line="360" w:before="100"/>
        <w:ind w:left="720" w:hanging="359"/>
        <w:contextualSpacing w:val="1"/>
        <w:rPr>
          <w:color w:val="000000"/>
        </w:rPr>
      </w:pPr>
      <w:r w:rsidRPr="00000000" w:rsidR="00000000" w:rsidDel="00000000">
        <w:rPr>
          <w:color w:val="000000"/>
          <w:rtl w:val="0"/>
        </w:rPr>
        <w:t xml:space="preserve">члены Союза, уплачивающие членские взносы единовременно, путем перечисления денежных средств на расчетный счет Союза не позднее 30 января каждого календарного года, или двумя равными долями, не позднее 30 января и 30 июня каждого календарного года;</w:t>
      </w:r>
    </w:p>
    <w:p w:rsidP="00000000" w:rsidRPr="00000000" w:rsidR="00000000" w:rsidDel="00000000" w:rsidRDefault="00000000">
      <w:pPr>
        <w:numPr>
          <w:ilvl w:val="0"/>
          <w:numId w:val="1"/>
        </w:numPr>
        <w:spacing w:lineRule="auto" w:after="100" w:line="360" w:before="100"/>
        <w:ind w:left="720" w:hanging="359"/>
        <w:contextualSpacing w:val="1"/>
        <w:rPr>
          <w:color w:val="000000"/>
        </w:rPr>
      </w:pPr>
      <w:r w:rsidRPr="00000000" w:rsidR="00000000" w:rsidDel="00000000">
        <w:rPr>
          <w:color w:val="000000"/>
          <w:rtl w:val="0"/>
        </w:rPr>
        <w:t xml:space="preserve">остальные члены Союза – единовременно, путем перечисления денежных средств на расчетный счет Союза, не позднее 30 января каждого календарного года, или ежеквартально, равными долями в размере 1/4 части ежегодного членского взноса, не позднее 10 числа первого месяца каждого календарного квартала. В январе уплата членских взносов за 1 квартал производится до 25 января.</w:t>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Члены Союза вправе уплатить членские взносы досрочно.</w:t>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2.6. При вступлении в Союз в течение календарного года, размер членского взноса за первый год рассчитывается пропорционально периоду членства в Союзе. Первая уплата взноса, производится не позднее 10 дней с момента получения письменного уведомления о принятии в члены Союза и уведомления на оплату членского взноса.</w:t>
      </w:r>
    </w:p>
    <w:p w:rsidP="00000000" w:rsidRPr="00000000" w:rsidR="00000000" w:rsidDel="00000000" w:rsidRDefault="00000000">
      <w:pPr>
        <w:pStyle w:val="Heading1"/>
        <w:contextualSpacing w:val="0"/>
      </w:pPr>
      <w:bookmarkStart w:id="3" w:colFirst="0" w:name="h.vh93nei3d874" w:colLast="0"/>
      <w:bookmarkEnd w:id="3"/>
      <w:r w:rsidRPr="00000000" w:rsidR="00000000" w:rsidDel="00000000">
        <w:rPr>
          <w:rtl w:val="0"/>
        </w:rPr>
        <w:t xml:space="preserve">3. Дополнительные имущественные взносы</w:t>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3.1. Дополнительные имущественные взносы — единовременные поступления от членов Союза, которые вносятся по решению Общего собрания Союза для финансирования программ, проектов и проведение мероприятий, не обеспеченных финансовым планом.</w:t>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3.2. При принятии решения Общее собрание определяет порядок, сроки и размер внесения дополнительных имущественных взносов. Дополнительные имущественные взносы могут вноситься путем перечисления денежных средств на расчетный счет Союза, путем передачи иного имущества, имущественных или неимущественных прав, исполнения обязательств, имеющих денежную оценку. Решение принимается простым большинством голосов членов Союза, присутствующих на Общем собрании.</w:t>
      </w:r>
    </w:p>
    <w:p w:rsidP="00000000" w:rsidRPr="00000000" w:rsidR="00000000" w:rsidDel="00000000" w:rsidRDefault="00000000">
      <w:pPr>
        <w:spacing w:lineRule="auto" w:after="100" w:line="360" w:before="100"/>
        <w:contextualSpacing w:val="0"/>
      </w:pPr>
      <w:r w:rsidRPr="00000000" w:rsidR="00000000" w:rsidDel="00000000">
        <w:rPr>
          <w:color w:val="000000"/>
          <w:rtl w:val="0"/>
        </w:rPr>
        <w:t xml:space="preserve">3.3. В течение 10 дней после принятия решения Общим собранием, членам Союза направляются письменные уведомления о внесении дополнительных имущественных взносов.</w:t>
      </w:r>
    </w:p>
    <w:p w:rsidP="00000000" w:rsidRPr="00000000" w:rsidR="00000000" w:rsidDel="00000000" w:rsidRDefault="00000000">
      <w:pPr>
        <w:spacing w:lineRule="auto" w:after="100" w:line="360" w:before="100"/>
        <w:contextualSpacing w:val="0"/>
      </w:pPr>
      <w:r w:rsidRPr="00000000" w:rsidR="00000000" w:rsidDel="00000000">
        <w:rPr>
          <w:rtl w:val="0"/>
        </w:rPr>
      </w:r>
    </w:p>
    <w:sectPr>
      <w:footerReference r:id="rId5" w:type="default"/>
      <w:pgSz w:w="11906" w:h="16838"/>
      <w:pgMar w:left="1134" w:right="567"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fldSimple w:dirty="0" w:instr="PAGE" w:fldLock="0">
      <w:r w:rsidRPr="00000000" w:rsidR="00000000" w:rsidDel="00000000">
        <w:rPr>
          <w:sz w:val="2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333333"/>
        <w:sz w:val="24"/>
        <w:highlight w:val="white"/>
        <w:u w:val="none"/>
        <w:vertAlign w:val="baseline"/>
      </w:rPr>
    </w:rPrDefault>
    <w:pPrDefault>
      <w:pPr>
        <w:keepNext w:val="0"/>
        <w:keepLines w:val="0"/>
        <w:widowControl w:val="0"/>
        <w:spacing w:lineRule="auto" w:after="200" w:line="360" w:before="200"/>
        <w:ind w:left="0" w:firstLine="0" w:right="27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spacing w:lineRule="auto" w:after="100" w:before="100"/>
      <w:contextualSpacing w:val="1"/>
      <w:jc w:val="center"/>
    </w:pPr>
    <w:rPr>
      <w:b w:val="0"/>
      <w:color w:val="000000"/>
      <w:sz w:val="28"/>
    </w:rPr>
  </w:style>
  <w:style w:styleId="Heading2" w:type="paragraph">
    <w:name w:val="heading 2"/>
    <w:basedOn w:val="Normal"/>
    <w:next w:val="Normal"/>
    <w:pPr>
      <w:spacing w:lineRule="auto" w:after="240" w:before="480"/>
      <w:contextualSpacing w:val="1"/>
    </w:pPr>
    <w:rPr>
      <w:b w:val="0"/>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720" w:before="0"/>
      <w:contextualSpacing w:val="1"/>
      <w:jc w:val="left"/>
    </w:pPr>
    <w:rPr>
      <w:b w:val="0"/>
      <w:sz w:val="36"/>
    </w:rPr>
  </w:style>
  <w:style w:styleId="Subtitle" w:type="paragraph">
    <w:name w:val="Subtitle"/>
    <w:basedOn w:val="Normal"/>
    <w:next w:val="Normal"/>
    <w:pPr>
      <w:contextualSpacing w:val="1"/>
      <w:jc w:val="center"/>
    </w:pPr>
    <w:rPr>
      <w:b w:val="1"/>
      <w:sz w:val="2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взносах ССС.docx</dc:title>
</cp:coreProperties>
</file>